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ff0000"/>
          <w:sz w:val="32"/>
          <w:szCs w:val="32"/>
        </w:rPr>
      </w:pPr>
      <w:bookmarkStart w:colFirst="0" w:colLast="0" w:name="_crmwspmiffxx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2"/>
          <w:szCs w:val="32"/>
          <w:rtl w:val="0"/>
        </w:rPr>
        <w:t xml:space="preserve">Library Board Meeting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Tuesday, March 5th, 2019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3:30 PM </w:t>
      </w:r>
    </w:p>
    <w:p w:rsidR="00000000" w:rsidDel="00000000" w:rsidP="00000000" w:rsidRDefault="00000000" w:rsidRPr="00000000" w14:paraId="00000004">
      <w:pPr>
        <w:tabs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Public Library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Leader: Scanlan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8"/>
                <w:szCs w:val="18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Janet Willman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Stephen Scanlan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 ITEMS: </w:t>
      </w:r>
    </w:p>
    <w:tbl>
      <w:tblPr>
        <w:tblStyle w:val="Table2"/>
        <w:tblW w:w="103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5127"/>
        <w:gridCol w:w="1620"/>
        <w:gridCol w:w="2452"/>
        <w:tblGridChange w:id="0">
          <w:tblGrid>
            <w:gridCol w:w="1104"/>
            <w:gridCol w:w="5127"/>
            <w:gridCol w:w="1620"/>
            <w:gridCol w:w="2452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2"/>
                <w:szCs w:val="22"/>
                <w:rtl w:val="0"/>
              </w:rPr>
              <w:t xml:space="preserve">Action/Motions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:30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3:35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 Appearances and Citizen Comments (up to 30 min.)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ind w:hanging="7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3:40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Approvals: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 </w:t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ind w:hanging="7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3:45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Library Financial Overview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4:15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Director’s Finance Reports Review and Discussion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Future Financial Discussion (including investment options)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e5b9b7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Tuesday, March 12th at 6:00pm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actions will be taken and this meeting will be open to the public as stated under Open Meeting Laws.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vfx8yhjkxrx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Last Revised: </w:t>
    </w:r>
    <w:r w:rsidDel="00000000" w:rsidR="00000000" w:rsidRPr="00000000">
      <w:rPr>
        <w:rFonts w:ascii="Calibri" w:cs="Calibri" w:eastAsia="Calibri" w:hAnsi="Calibri"/>
        <w:rtl w:val="0"/>
      </w:rPr>
      <w:t xml:space="preserve">3/1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Fonts w:ascii="Calibri" w:cs="Calibri" w:eastAsia="Calibri" w:hAnsi="Calibri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Library Board Agenda 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1.gif"/>
          <a:graphic>
            <a:graphicData uri="http://schemas.openxmlformats.org/drawingml/2006/picture">
              <pic:pic>
                <pic:nvPicPr>
                  <pic:cNvPr descr="stack of books icon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